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C6" w:rsidRDefault="00CC34C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C34C6" w:rsidTr="00CC34C6">
        <w:tc>
          <w:tcPr>
            <w:tcW w:w="4889" w:type="dxa"/>
          </w:tcPr>
          <w:p w:rsidR="00CC34C6" w:rsidRDefault="00CC34C6" w:rsidP="00CC34C6">
            <w:pPr>
              <w:jc w:val="both"/>
            </w:pPr>
          </w:p>
        </w:tc>
        <w:tc>
          <w:tcPr>
            <w:tcW w:w="4889" w:type="dxa"/>
          </w:tcPr>
          <w:p w:rsidR="00CC34C6" w:rsidRDefault="00CC34C6" w:rsidP="00CC34C6">
            <w:pPr>
              <w:jc w:val="right"/>
            </w:pPr>
          </w:p>
        </w:tc>
      </w:tr>
    </w:tbl>
    <w:p w:rsidR="00373CBF" w:rsidRPr="005659B3" w:rsidRDefault="00CC34C6">
      <w:pPr>
        <w:rPr>
          <w:rFonts w:ascii="Arial" w:hAnsi="Arial" w:cs="Arial"/>
          <w:b/>
          <w:color w:val="005157"/>
          <w:sz w:val="24"/>
          <w:szCs w:val="24"/>
        </w:rPr>
      </w:pPr>
      <w:r w:rsidRPr="00CC34C6">
        <w:rPr>
          <w:rFonts w:ascii="Arial" w:hAnsi="Arial" w:cs="Arial"/>
          <w:b/>
          <w:color w:val="005157"/>
          <w:sz w:val="24"/>
          <w:szCs w:val="24"/>
        </w:rPr>
        <w:t>Domande e Risposte Utili</w:t>
      </w:r>
    </w:p>
    <w:p w:rsidR="00CC34C6" w:rsidRPr="00373CBF" w:rsidRDefault="00373CBF">
      <w:pPr>
        <w:rPr>
          <w:rFonts w:ascii="Arial" w:hAnsi="Arial" w:cs="Arial"/>
          <w:color w:val="92D050"/>
          <w:sz w:val="24"/>
          <w:szCs w:val="24"/>
        </w:rPr>
      </w:pPr>
      <w:r w:rsidRPr="00373CBF">
        <w:rPr>
          <w:rFonts w:ascii="Arial" w:hAnsi="Arial" w:cs="Arial"/>
          <w:color w:val="92D050"/>
          <w:sz w:val="24"/>
          <w:szCs w:val="24"/>
        </w:rPr>
        <w:t>Quanto ci sarà la fusione?</w:t>
      </w:r>
    </w:p>
    <w:p w:rsidR="00373CBF" w:rsidRDefault="00373CBF">
      <w:pPr>
        <w:rPr>
          <w:rFonts w:ascii="Arial" w:hAnsi="Arial" w:cs="Arial"/>
          <w:color w:val="005157"/>
          <w:sz w:val="24"/>
          <w:szCs w:val="24"/>
        </w:rPr>
      </w:pPr>
      <w:r w:rsidRPr="00373CBF">
        <w:rPr>
          <w:rFonts w:ascii="Arial" w:hAnsi="Arial" w:cs="Arial"/>
          <w:color w:val="005157"/>
          <w:sz w:val="24"/>
          <w:szCs w:val="24"/>
        </w:rPr>
        <w:t>Il 22 febbraio le filiali UBI Banca, parte del perimetro interessato alla cessione, passeranno sotto l’insegna BPER Banca.</w:t>
      </w:r>
    </w:p>
    <w:p w:rsidR="00373CBF" w:rsidRPr="00373CBF" w:rsidRDefault="00373CBF">
      <w:pPr>
        <w:rPr>
          <w:rFonts w:ascii="Arial" w:hAnsi="Arial" w:cs="Arial"/>
          <w:color w:val="92D050"/>
          <w:sz w:val="24"/>
          <w:szCs w:val="24"/>
        </w:rPr>
      </w:pPr>
      <w:r w:rsidRPr="00373CBF">
        <w:rPr>
          <w:rFonts w:ascii="Arial" w:hAnsi="Arial" w:cs="Arial"/>
          <w:color w:val="92D050"/>
          <w:sz w:val="24"/>
          <w:szCs w:val="24"/>
        </w:rPr>
        <w:t>Con la cessione, cambieranno i miei referenti in filiale?</w:t>
      </w:r>
    </w:p>
    <w:p w:rsidR="00373CBF" w:rsidRDefault="00373CBF">
      <w:pPr>
        <w:rPr>
          <w:rFonts w:ascii="Arial" w:hAnsi="Arial" w:cs="Arial"/>
          <w:color w:val="005157"/>
          <w:sz w:val="24"/>
          <w:szCs w:val="24"/>
        </w:rPr>
      </w:pPr>
      <w:r>
        <w:rPr>
          <w:rFonts w:ascii="Arial" w:hAnsi="Arial" w:cs="Arial"/>
          <w:color w:val="005157"/>
          <w:sz w:val="24"/>
          <w:szCs w:val="24"/>
        </w:rPr>
        <w:t xml:space="preserve">No, in filiale continueranno a seguirti le stesse persone, i tuoi referenti </w:t>
      </w:r>
      <w:r w:rsidR="00862F86">
        <w:rPr>
          <w:rFonts w:ascii="Arial" w:hAnsi="Arial" w:cs="Arial"/>
          <w:color w:val="005157"/>
          <w:sz w:val="24"/>
          <w:szCs w:val="24"/>
        </w:rPr>
        <w:t>non cambieranno.</w:t>
      </w:r>
    </w:p>
    <w:p w:rsidR="00373CBF" w:rsidRPr="00373CBF" w:rsidRDefault="00373CBF">
      <w:pPr>
        <w:rPr>
          <w:rFonts w:ascii="Arial" w:hAnsi="Arial" w:cs="Arial"/>
          <w:color w:val="92D050"/>
          <w:sz w:val="24"/>
          <w:szCs w:val="24"/>
        </w:rPr>
      </w:pPr>
      <w:r w:rsidRPr="00373CBF">
        <w:rPr>
          <w:rFonts w:ascii="Arial" w:hAnsi="Arial" w:cs="Arial"/>
          <w:color w:val="92D050"/>
          <w:sz w:val="24"/>
          <w:szCs w:val="24"/>
        </w:rPr>
        <w:t>Cosa succederà al mio Conto Corrente? Mi cambierà l’IBAN?</w:t>
      </w:r>
    </w:p>
    <w:p w:rsidR="00373CBF" w:rsidRDefault="00373CBF">
      <w:pPr>
        <w:rPr>
          <w:rFonts w:ascii="Arial" w:hAnsi="Arial" w:cs="Arial"/>
          <w:color w:val="005157"/>
          <w:sz w:val="24"/>
          <w:szCs w:val="24"/>
        </w:rPr>
      </w:pPr>
      <w:r>
        <w:rPr>
          <w:rFonts w:ascii="Arial" w:hAnsi="Arial" w:cs="Arial"/>
          <w:color w:val="005157"/>
          <w:sz w:val="24"/>
          <w:szCs w:val="24"/>
        </w:rPr>
        <w:t>Si, dal 22 febbraio il tuo IBAN cambierà. Il nuovo IBAN ti verrà inviato a metà gennaio.</w:t>
      </w:r>
    </w:p>
    <w:p w:rsidR="00373CBF" w:rsidRDefault="00852BD9">
      <w:pPr>
        <w:rPr>
          <w:rFonts w:ascii="Arial" w:hAnsi="Arial" w:cs="Arial"/>
          <w:color w:val="92D050"/>
          <w:sz w:val="24"/>
          <w:szCs w:val="24"/>
        </w:rPr>
      </w:pPr>
      <w:r w:rsidRPr="00852BD9">
        <w:rPr>
          <w:rFonts w:ascii="Arial" w:hAnsi="Arial" w:cs="Arial"/>
          <w:color w:val="92D050"/>
          <w:sz w:val="24"/>
          <w:szCs w:val="24"/>
        </w:rPr>
        <w:t xml:space="preserve">Posso continuare ad usare le mie carte di debito e credito, assegni, IB, </w:t>
      </w:r>
      <w:proofErr w:type="spellStart"/>
      <w:r w:rsidRPr="00852BD9">
        <w:rPr>
          <w:rFonts w:ascii="Arial" w:hAnsi="Arial" w:cs="Arial"/>
          <w:color w:val="92D050"/>
          <w:sz w:val="24"/>
          <w:szCs w:val="24"/>
        </w:rPr>
        <w:t>ecc</w:t>
      </w:r>
      <w:proofErr w:type="spellEnd"/>
      <w:r w:rsidRPr="00852BD9">
        <w:rPr>
          <w:rFonts w:ascii="Arial" w:hAnsi="Arial" w:cs="Arial"/>
          <w:color w:val="92D050"/>
          <w:sz w:val="24"/>
          <w:szCs w:val="24"/>
        </w:rPr>
        <w:t>?</w:t>
      </w:r>
    </w:p>
    <w:p w:rsidR="00852BD9" w:rsidRDefault="00852BD9">
      <w:pPr>
        <w:rPr>
          <w:rFonts w:ascii="Arial" w:hAnsi="Arial" w:cs="Arial"/>
          <w:color w:val="005157"/>
          <w:sz w:val="24"/>
          <w:szCs w:val="24"/>
        </w:rPr>
      </w:pPr>
      <w:r w:rsidRPr="00852BD9">
        <w:rPr>
          <w:rFonts w:ascii="Arial" w:hAnsi="Arial" w:cs="Arial"/>
          <w:color w:val="005157"/>
          <w:sz w:val="24"/>
          <w:szCs w:val="24"/>
        </w:rPr>
        <w:t>Si</w:t>
      </w:r>
      <w:r w:rsidR="00862F86">
        <w:rPr>
          <w:rFonts w:ascii="Arial" w:hAnsi="Arial" w:cs="Arial"/>
          <w:color w:val="005157"/>
          <w:sz w:val="24"/>
          <w:szCs w:val="24"/>
        </w:rPr>
        <w:t>,</w:t>
      </w:r>
      <w:r w:rsidRPr="00852BD9">
        <w:rPr>
          <w:rFonts w:ascii="Arial" w:hAnsi="Arial" w:cs="Arial"/>
          <w:color w:val="005157"/>
          <w:sz w:val="24"/>
          <w:szCs w:val="24"/>
        </w:rPr>
        <w:t xml:space="preserve"> potrai continuare ad utilizzare tutti i prodotti e servizi, anche dopo la fusione.</w:t>
      </w:r>
    </w:p>
    <w:p w:rsidR="00852BD9" w:rsidRPr="00852BD9" w:rsidRDefault="00852BD9">
      <w:pPr>
        <w:rPr>
          <w:rFonts w:ascii="Arial" w:hAnsi="Arial" w:cs="Arial"/>
          <w:color w:val="92D050"/>
          <w:sz w:val="24"/>
          <w:szCs w:val="24"/>
        </w:rPr>
      </w:pPr>
      <w:r w:rsidRPr="00852BD9">
        <w:rPr>
          <w:rFonts w:ascii="Arial" w:hAnsi="Arial" w:cs="Arial"/>
          <w:color w:val="92D050"/>
          <w:sz w:val="24"/>
          <w:szCs w:val="24"/>
        </w:rPr>
        <w:t>Cambieranno le condizioni?</w:t>
      </w:r>
    </w:p>
    <w:p w:rsidR="00852BD9" w:rsidRDefault="00852BD9">
      <w:pPr>
        <w:rPr>
          <w:rFonts w:ascii="Arial" w:hAnsi="Arial" w:cs="Arial"/>
          <w:color w:val="005157"/>
          <w:sz w:val="24"/>
          <w:szCs w:val="24"/>
        </w:rPr>
      </w:pPr>
      <w:r>
        <w:rPr>
          <w:rFonts w:ascii="Arial" w:hAnsi="Arial" w:cs="Arial"/>
          <w:color w:val="005157"/>
          <w:sz w:val="24"/>
          <w:szCs w:val="24"/>
        </w:rPr>
        <w:t>Potranno cambiare, nel caso riceverai comunicazione a metà dicembre.</w:t>
      </w:r>
    </w:p>
    <w:p w:rsidR="00852BD9" w:rsidRDefault="005659B3">
      <w:pPr>
        <w:rPr>
          <w:rFonts w:ascii="Arial" w:hAnsi="Arial" w:cs="Arial"/>
          <w:color w:val="92D050"/>
          <w:sz w:val="24"/>
          <w:szCs w:val="24"/>
        </w:rPr>
      </w:pPr>
      <w:r w:rsidRPr="005659B3">
        <w:rPr>
          <w:rFonts w:ascii="Arial" w:hAnsi="Arial" w:cs="Arial"/>
          <w:color w:val="92D050"/>
          <w:sz w:val="24"/>
          <w:szCs w:val="24"/>
        </w:rPr>
        <w:t>Dove riceverò le comunicazioni su eventuali cambiamenti?</w:t>
      </w:r>
    </w:p>
    <w:p w:rsidR="005659B3" w:rsidRPr="005659B3" w:rsidRDefault="005659B3" w:rsidP="005659B3">
      <w:pPr>
        <w:rPr>
          <w:rFonts w:ascii="Arial" w:hAnsi="Arial" w:cs="Arial"/>
          <w:color w:val="005157"/>
          <w:sz w:val="24"/>
          <w:szCs w:val="24"/>
        </w:rPr>
      </w:pPr>
      <w:r>
        <w:rPr>
          <w:rFonts w:ascii="Arial" w:hAnsi="Arial" w:cs="Arial"/>
          <w:color w:val="005157"/>
          <w:sz w:val="24"/>
          <w:szCs w:val="24"/>
        </w:rPr>
        <w:t xml:space="preserve">Le 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comunicazioni ufficiali, sulle condizioni e sull’iban, arriveranno solo cartacee, quindi controlla </w:t>
      </w:r>
      <w:r>
        <w:rPr>
          <w:rFonts w:ascii="Arial" w:hAnsi="Arial" w:cs="Arial"/>
          <w:color w:val="005157"/>
          <w:sz w:val="24"/>
          <w:szCs w:val="24"/>
        </w:rPr>
        <w:t xml:space="preserve">la tua cassetta delle lettere. Ti invieremo 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anche delle comunicazioni per accompagnarti al passaggio, tramite mail, sms, notifiche </w:t>
      </w:r>
      <w:proofErr w:type="spellStart"/>
      <w:r w:rsidRPr="005659B3">
        <w:rPr>
          <w:rFonts w:ascii="Arial" w:hAnsi="Arial" w:cs="Arial"/>
          <w:color w:val="005157"/>
          <w:sz w:val="24"/>
          <w:szCs w:val="24"/>
        </w:rPr>
        <w:t>push</w:t>
      </w:r>
      <w:proofErr w:type="spellEnd"/>
      <w:r>
        <w:rPr>
          <w:rFonts w:ascii="Arial" w:hAnsi="Arial" w:cs="Arial"/>
          <w:color w:val="005157"/>
          <w:sz w:val="24"/>
          <w:szCs w:val="24"/>
        </w:rPr>
        <w:t xml:space="preserve"> dall’</w:t>
      </w:r>
      <w:proofErr w:type="spellStart"/>
      <w:r>
        <w:rPr>
          <w:rFonts w:ascii="Arial" w:hAnsi="Arial" w:cs="Arial"/>
          <w:color w:val="005157"/>
          <w:sz w:val="24"/>
          <w:szCs w:val="24"/>
        </w:rPr>
        <w:t>App</w:t>
      </w:r>
      <w:proofErr w:type="spellEnd"/>
      <w:r>
        <w:rPr>
          <w:rFonts w:ascii="Arial" w:hAnsi="Arial" w:cs="Arial"/>
          <w:color w:val="005157"/>
          <w:sz w:val="24"/>
          <w:szCs w:val="24"/>
        </w:rPr>
        <w:t xml:space="preserve"> dell’internet banking. Troverai comunque tutti gli aggiornamenti su bper.it </w:t>
      </w:r>
    </w:p>
    <w:p w:rsidR="00CC34C6" w:rsidRPr="005659B3" w:rsidRDefault="005659B3">
      <w:pPr>
        <w:rPr>
          <w:rFonts w:ascii="Arial" w:hAnsi="Arial" w:cs="Arial"/>
          <w:color w:val="92D050"/>
          <w:sz w:val="24"/>
          <w:szCs w:val="24"/>
        </w:rPr>
      </w:pPr>
      <w:r w:rsidRPr="005659B3">
        <w:rPr>
          <w:rFonts w:ascii="Arial" w:hAnsi="Arial" w:cs="Arial"/>
          <w:color w:val="92D050"/>
          <w:sz w:val="24"/>
          <w:szCs w:val="24"/>
        </w:rPr>
        <w:t>La mia Privacy sarà garantita?</w:t>
      </w:r>
    </w:p>
    <w:p w:rsidR="005659B3" w:rsidRDefault="005659B3">
      <w:pPr>
        <w:rPr>
          <w:rFonts w:ascii="Arial" w:hAnsi="Arial" w:cs="Arial"/>
          <w:color w:val="005157"/>
          <w:sz w:val="24"/>
          <w:szCs w:val="24"/>
        </w:rPr>
      </w:pPr>
      <w:r w:rsidRPr="005659B3">
        <w:rPr>
          <w:rFonts w:ascii="Arial" w:hAnsi="Arial" w:cs="Arial"/>
          <w:color w:val="005157"/>
          <w:sz w:val="24"/>
          <w:szCs w:val="24"/>
        </w:rPr>
        <w:t>Certamente, raccoglieremo le tue preferenze sui livelli d</w:t>
      </w:r>
      <w:r>
        <w:rPr>
          <w:rFonts w:ascii="Arial" w:hAnsi="Arial" w:cs="Arial"/>
          <w:color w:val="005157"/>
          <w:sz w:val="24"/>
          <w:szCs w:val="24"/>
        </w:rPr>
        <w:t>i privacy.</w:t>
      </w:r>
    </w:p>
    <w:p w:rsidR="005659B3" w:rsidRPr="005659B3" w:rsidRDefault="005659B3">
      <w:pPr>
        <w:rPr>
          <w:rFonts w:ascii="Arial" w:hAnsi="Arial" w:cs="Arial"/>
          <w:color w:val="92D050"/>
          <w:sz w:val="24"/>
          <w:szCs w:val="24"/>
        </w:rPr>
      </w:pPr>
      <w:r w:rsidRPr="005659B3">
        <w:rPr>
          <w:rFonts w:ascii="Arial" w:hAnsi="Arial" w:cs="Arial"/>
          <w:color w:val="92D050"/>
          <w:sz w:val="24"/>
          <w:szCs w:val="24"/>
        </w:rPr>
        <w:t>Questo passaggio ha un costo?</w:t>
      </w:r>
    </w:p>
    <w:p w:rsidR="005659B3" w:rsidRDefault="005659B3">
      <w:pPr>
        <w:rPr>
          <w:rFonts w:ascii="Arial" w:hAnsi="Arial" w:cs="Arial"/>
          <w:color w:val="005157"/>
          <w:sz w:val="24"/>
          <w:szCs w:val="24"/>
        </w:rPr>
      </w:pPr>
      <w:r>
        <w:rPr>
          <w:rFonts w:ascii="Arial" w:hAnsi="Arial" w:cs="Arial"/>
          <w:color w:val="005157"/>
          <w:sz w:val="24"/>
          <w:szCs w:val="24"/>
        </w:rPr>
        <w:t>No, nessun costo.</w:t>
      </w:r>
    </w:p>
    <w:p w:rsidR="005659B3" w:rsidRDefault="005659B3">
      <w:pPr>
        <w:rPr>
          <w:rFonts w:ascii="Arial" w:hAnsi="Arial" w:cs="Arial"/>
          <w:color w:val="92D050"/>
          <w:sz w:val="24"/>
          <w:szCs w:val="24"/>
        </w:rPr>
      </w:pPr>
      <w:r w:rsidRPr="005659B3">
        <w:rPr>
          <w:rFonts w:ascii="Arial" w:hAnsi="Arial" w:cs="Arial"/>
          <w:color w:val="92D050"/>
          <w:sz w:val="24"/>
          <w:szCs w:val="24"/>
        </w:rPr>
        <w:t>Posso cambiare banca?</w:t>
      </w:r>
    </w:p>
    <w:p w:rsidR="005659B3" w:rsidRPr="005659B3" w:rsidRDefault="005659B3">
      <w:pPr>
        <w:rPr>
          <w:rFonts w:ascii="Arial" w:hAnsi="Arial" w:cs="Arial"/>
          <w:color w:val="005157"/>
          <w:sz w:val="24"/>
          <w:szCs w:val="24"/>
        </w:rPr>
      </w:pPr>
      <w:r w:rsidRPr="005659B3">
        <w:rPr>
          <w:rFonts w:ascii="Arial" w:hAnsi="Arial" w:cs="Arial"/>
          <w:color w:val="005157"/>
          <w:sz w:val="24"/>
          <w:szCs w:val="24"/>
        </w:rPr>
        <w:t>Questo è possibile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, ma perché farlo? </w:t>
      </w:r>
      <w:r w:rsidRPr="005659B3">
        <w:rPr>
          <w:rFonts w:ascii="Arial" w:hAnsi="Arial" w:cs="Arial"/>
          <w:color w:val="005157"/>
          <w:sz w:val="24"/>
          <w:szCs w:val="24"/>
        </w:rPr>
        <w:t>BPER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 Banca 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è una </w:t>
      </w:r>
      <w:r w:rsidRPr="005659B3">
        <w:rPr>
          <w:rFonts w:ascii="Arial" w:hAnsi="Arial" w:cs="Arial"/>
          <w:color w:val="005157"/>
          <w:sz w:val="24"/>
          <w:szCs w:val="24"/>
        </w:rPr>
        <w:t>banca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 solida e con più di 150 anni esperienza, pensa è nata nel 1867. Ha un modello di servizio coerente con quello che sei abituato ad avere oggi. Dopo questa operazione sarà la 3 banca italiana, con capillarità in tutto il Paese e servizi digitali a disposizione per gestire le operazioni anche a distanza. 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E’ una banca vicina al cliente, i 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livelli di soddisfazione delle clientela, </w:t>
      </w:r>
      <w:r w:rsidRPr="005659B3">
        <w:rPr>
          <w:rFonts w:ascii="Arial" w:hAnsi="Arial" w:cs="Arial"/>
          <w:color w:val="005157"/>
          <w:sz w:val="24"/>
          <w:szCs w:val="24"/>
        </w:rPr>
        <w:t>sono elevati e</w:t>
      </w:r>
      <w:r w:rsidRPr="005659B3">
        <w:rPr>
          <w:rFonts w:ascii="Arial" w:hAnsi="Arial" w:cs="Arial"/>
          <w:color w:val="005157"/>
          <w:sz w:val="24"/>
          <w:szCs w:val="24"/>
        </w:rPr>
        <w:t xml:space="preserve"> ha valori di responsabilità, lealtà, </w:t>
      </w:r>
      <w:r w:rsidR="00035CED">
        <w:rPr>
          <w:rFonts w:ascii="Arial" w:hAnsi="Arial" w:cs="Arial"/>
          <w:color w:val="005157"/>
          <w:sz w:val="24"/>
          <w:szCs w:val="24"/>
        </w:rPr>
        <w:t>concretezza dichiarati e agiti.</w:t>
      </w:r>
      <w:bookmarkStart w:id="0" w:name="_GoBack"/>
      <w:bookmarkEnd w:id="0"/>
    </w:p>
    <w:p w:rsidR="005659B3" w:rsidRPr="005659B3" w:rsidRDefault="005659B3">
      <w:pPr>
        <w:rPr>
          <w:rFonts w:ascii="Arial" w:hAnsi="Arial" w:cs="Arial"/>
          <w:color w:val="005157"/>
          <w:sz w:val="24"/>
          <w:szCs w:val="24"/>
        </w:rPr>
      </w:pPr>
    </w:p>
    <w:sectPr w:rsidR="005659B3" w:rsidRPr="005659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C6" w:rsidRDefault="00CC34C6" w:rsidP="00CC34C6">
      <w:pPr>
        <w:spacing w:after="0" w:line="240" w:lineRule="auto"/>
      </w:pPr>
      <w:r>
        <w:separator/>
      </w:r>
    </w:p>
  </w:endnote>
  <w:endnote w:type="continuationSeparator" w:id="0">
    <w:p w:rsidR="00CC34C6" w:rsidRDefault="00CC34C6" w:rsidP="00CC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C6" w:rsidRDefault="00CC34C6" w:rsidP="00CC34C6">
      <w:pPr>
        <w:spacing w:after="0" w:line="240" w:lineRule="auto"/>
      </w:pPr>
      <w:r>
        <w:separator/>
      </w:r>
    </w:p>
  </w:footnote>
  <w:footnote w:type="continuationSeparator" w:id="0">
    <w:p w:rsidR="00CC34C6" w:rsidRDefault="00CC34C6" w:rsidP="00CC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C6" w:rsidRDefault="00CC34C6" w:rsidP="00CC34C6">
    <w:pPr>
      <w:pStyle w:val="Intestazione"/>
    </w:pPr>
    <w:r>
      <w:rPr>
        <w:noProof/>
        <w:lang w:eastAsia="it-IT"/>
      </w:rPr>
      <w:drawing>
        <wp:inline distT="0" distB="0" distL="0" distR="0">
          <wp:extent cx="1151188" cy="720000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18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>
          <wp:extent cx="1229513" cy="540000"/>
          <wp:effectExtent l="0" t="0" r="889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0px-BPER_Banca_logo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51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34C6" w:rsidRDefault="00CC34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C6"/>
    <w:rsid w:val="00035CED"/>
    <w:rsid w:val="00373CBF"/>
    <w:rsid w:val="00534520"/>
    <w:rsid w:val="005659B3"/>
    <w:rsid w:val="00852BD9"/>
    <w:rsid w:val="00862F86"/>
    <w:rsid w:val="00CC34C6"/>
    <w:rsid w:val="00D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4C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3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4C6"/>
  </w:style>
  <w:style w:type="paragraph" w:styleId="Pidipagina">
    <w:name w:val="footer"/>
    <w:basedOn w:val="Normale"/>
    <w:link w:val="PidipaginaCarattere"/>
    <w:uiPriority w:val="99"/>
    <w:unhideWhenUsed/>
    <w:rsid w:val="00CC3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4C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3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4C6"/>
  </w:style>
  <w:style w:type="paragraph" w:styleId="Pidipagina">
    <w:name w:val="footer"/>
    <w:basedOn w:val="Normale"/>
    <w:link w:val="PidipaginaCarattere"/>
    <w:uiPriority w:val="99"/>
    <w:unhideWhenUsed/>
    <w:rsid w:val="00CC3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Parato Eufemia</dc:creator>
  <cp:lastModifiedBy>Parato Eufemia</cp:lastModifiedBy>
  <cp:revision>1</cp:revision>
  <dcterms:created xsi:type="dcterms:W3CDTF">2020-11-02T08:35:00Z</dcterms:created>
  <dcterms:modified xsi:type="dcterms:W3CDTF">2020-11-02T09:41:00Z</dcterms:modified>
</cp:coreProperties>
</file>